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520"/>
        <w:gridCol w:w="2520"/>
        <w:gridCol w:w="2016"/>
        <w:gridCol w:w="3024"/>
      </w:tblGrid>
      <w:tr>
        <w:tc>
          <w:tcPr>
            <w:tcW w:type="dxa" w:w="2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/>
            </w:pPr>
            <w:r>
              <w:rPr>
                <w:rFonts w:ascii="Verdana" w:cs="Verdana" w:eastAsia="Verdana" w:hAnsi="Verdana"/>
                <w:b/>
                <w:bCs/>
                <w:color w:val="6E6E6E"/>
                <w:spacing w:val="20"/>
                <w:sz w:val="11"/>
                <w:szCs w:val="11"/>
              </w:rPr>
              <w:t xml:space="preserve">DOCUMENT NO.</w:t>
            </w:r>
          </w:p>
          <w:p>
            <w:r>
              <w:rPr>
                <w:rFonts w:ascii="Verdana" w:cs="Verdana" w:eastAsia="Verdana" w:hAnsi="Verdana"/>
                <w:b w:val="false"/>
                <w:bCs w:val="false"/>
                <w:color w:val="000000"/>
                <w:sz w:val="15"/>
                <w:szCs w:val="15"/>
              </w:rPr>
              <w:t xml:space="preserve">AHLS-TDS-WESP</w:t>
            </w:r>
          </w:p>
        </w:tc>
        <w:tc>
          <w:tcPr>
            <w:tcW w:type="dxa" w:w="2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/>
            </w:pPr>
            <w:r>
              <w:rPr>
                <w:rFonts w:ascii="Verdana" w:cs="Verdana" w:eastAsia="Verdana" w:hAnsi="Verdana"/>
                <w:b/>
                <w:bCs/>
                <w:color w:val="6E6E6E"/>
                <w:spacing w:val="20"/>
                <w:sz w:val="11"/>
                <w:szCs w:val="11"/>
              </w:rPr>
              <w:t xml:space="preserve">REVISION</w:t>
            </w:r>
          </w:p>
          <w:p>
            <w:r>
              <w:rPr>
                <w:rFonts w:ascii="Verdana" w:cs="Verdana" w:eastAsia="Verdana" w:hAnsi="Verdana"/>
                <w:b w:val="false"/>
                <w:bCs w:val="false"/>
                <w:color w:val="000000"/>
                <w:sz w:val="15"/>
                <w:szCs w:val="15"/>
              </w:rPr>
              <w:t xml:space="preserve">P1 — preliminary</w:t>
            </w:r>
          </w:p>
        </w:tc>
        <w:tc>
          <w:tcPr>
            <w:tcW w:type="dxa" w:w="20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/>
            </w:pPr>
            <w:r>
              <w:rPr>
                <w:rFonts w:ascii="Verdana" w:cs="Verdana" w:eastAsia="Verdana" w:hAnsi="Verdana"/>
                <w:b/>
                <w:bCs/>
                <w:color w:val="6E6E6E"/>
                <w:spacing w:val="20"/>
                <w:sz w:val="11"/>
                <w:szCs w:val="11"/>
              </w:rPr>
              <w:t xml:space="preserve">DATE</w:t>
            </w:r>
          </w:p>
          <w:p>
            <w:r>
              <w:rPr>
                <w:rFonts w:ascii="Verdana" w:cs="Verdana" w:eastAsia="Verdana" w:hAnsi="Verdana"/>
                <w:b w:val="false"/>
                <w:bCs w:val="false"/>
                <w:color w:val="000000"/>
                <w:sz w:val="15"/>
                <w:szCs w:val="15"/>
              </w:rPr>
              <w:t xml:space="preserve">2026-10-02</w:t>
            </w:r>
          </w:p>
        </w:tc>
        <w:tc>
          <w:tcPr>
            <w:tcW w:type="dxa" w:w="3024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/>
            </w:pPr>
            <w:r>
              <w:rPr>
                <w:rFonts w:ascii="Verdana" w:cs="Verdana" w:eastAsia="Verdana" w:hAnsi="Verdana"/>
                <w:b/>
                <w:bCs/>
                <w:color w:val="6E6E6E"/>
                <w:spacing w:val="20"/>
                <w:sz w:val="11"/>
                <w:szCs w:val="11"/>
              </w:rPr>
              <w:t xml:space="preserve">STATUS</w:t>
            </w:r>
          </w:p>
          <w:p>
            <w:r>
              <w:rPr>
                <w:rFonts w:ascii="Verdana" w:cs="Verdana" w:eastAsia="Verdana" w:hAnsi="Verdana"/>
                <w:b/>
                <w:bCs/>
                <w:color w:val="235835"/>
                <w:sz w:val="15"/>
                <w:szCs w:val="15"/>
              </w:rPr>
              <w:t xml:space="preserve">Concept — not for issue</w:t>
            </w:r>
          </w:p>
        </w:tc>
      </w:tr>
      <w:tr>
        <w:tc>
          <w:tcPr>
            <w:tcW w:type="dxa" w:w="2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3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/>
            </w:pPr>
            <w:r>
              <w:rPr>
                <w:rFonts w:ascii="Verdana" w:cs="Verdana" w:eastAsia="Verdana" w:hAnsi="Verdana"/>
                <w:b/>
                <w:bCs/>
                <w:color w:val="6E6E6E"/>
                <w:spacing w:val="20"/>
                <w:sz w:val="11"/>
                <w:szCs w:val="11"/>
              </w:rPr>
              <w:t xml:space="preserve">PREPARED BY</w:t>
            </w:r>
          </w:p>
          <w:p>
            <w:r>
              <w:rPr>
                <w:rFonts w:ascii="Verdana" w:cs="Verdana" w:eastAsia="Verdana" w:hAnsi="Verdana"/>
                <w:b w:val="false"/>
                <w:bCs w:val="false"/>
                <w:color w:val="6E6E6E"/>
                <w:sz w:val="15"/>
                <w:szCs w:val="15"/>
              </w:rPr>
              <w:t xml:space="preserve">[AHLS engineer]</w:t>
            </w:r>
          </w:p>
        </w:tc>
        <w:tc>
          <w:tcPr>
            <w:tcW w:type="dxa" w:w="25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3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/>
            </w:pPr>
            <w:r>
              <w:rPr>
                <w:rFonts w:ascii="Verdana" w:cs="Verdana" w:eastAsia="Verdana" w:hAnsi="Verdana"/>
                <w:b/>
                <w:bCs/>
                <w:color w:val="6E6E6E"/>
                <w:spacing w:val="20"/>
                <w:sz w:val="11"/>
                <w:szCs w:val="11"/>
              </w:rPr>
              <w:t xml:space="preserve">CHECKED BY</w:t>
            </w:r>
          </w:p>
          <w:p>
            <w:r>
              <w:rPr>
                <w:rFonts w:ascii="Verdana" w:cs="Verdana" w:eastAsia="Verdana" w:hAnsi="Verdana"/>
                <w:b w:val="false"/>
                <w:bCs w:val="false"/>
                <w:color w:val="6E6E6E"/>
                <w:sz w:val="15"/>
                <w:szCs w:val="15"/>
              </w:rPr>
              <w:t xml:space="preserve">[AHLS engineer]</w:t>
            </w:r>
          </w:p>
        </w:tc>
        <w:tc>
          <w:tcPr>
            <w:tcW w:type="dxa" w:w="2016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F3F4F3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/>
            </w:pPr>
            <w:r>
              <w:rPr>
                <w:rFonts w:ascii="Verdana" w:cs="Verdana" w:eastAsia="Verdana" w:hAnsi="Verdana"/>
                <w:b/>
                <w:bCs/>
                <w:color w:val="6E6E6E"/>
                <w:spacing w:val="20"/>
                <w:sz w:val="11"/>
                <w:szCs w:val="11"/>
              </w:rPr>
              <w:t xml:space="preserve">APPROVED BY</w:t>
            </w:r>
          </w:p>
          <w:p>
            <w:r>
              <w:rPr>
                <w:rFonts w:ascii="Verdana" w:cs="Verdana" w:eastAsia="Verdana" w:hAnsi="Verdana"/>
                <w:b w:val="false"/>
                <w:bCs w:val="false"/>
                <w:color w:val="6E6E6E"/>
                <w:sz w:val="15"/>
                <w:szCs w:val="15"/>
              </w:rPr>
              <w:t xml:space="preserve">[AHLS]</w:t>
            </w:r>
          </w:p>
        </w:tc>
        <w:tc>
          <w:tcPr>
            <w:tcW w:type="dxa" w:w="3024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/>
            </w:pPr>
            <w:r>
              <w:rPr>
                <w:rFonts w:ascii="Verdana" w:cs="Verdana" w:eastAsia="Verdana" w:hAnsi="Verdana"/>
                <w:b/>
                <w:bCs/>
                <w:color w:val="6E6E6E"/>
                <w:spacing w:val="20"/>
                <w:sz w:val="11"/>
                <w:szCs w:val="11"/>
              </w:rPr>
              <w:t xml:space="preserve">CONTENT SOURCE</w:t>
            </w:r>
          </w:p>
          <w:p>
            <w:r>
              <w:rPr>
                <w:rFonts w:ascii="Verdana" w:cs="Verdana" w:eastAsia="Verdana" w:hAnsi="Verdana"/>
                <w:b w:val="false"/>
                <w:bCs w:val="false"/>
                <w:color w:val="000000"/>
                <w:sz w:val="15"/>
                <w:szCs w:val="15"/>
              </w:rPr>
              <w:t xml:space="preserve">ahlundberg.com (public site)</w:t>
            </w:r>
          </w:p>
        </w:tc>
      </w:tr>
    </w:tbl>
    <w:p>
      <w:pPr>
        <w:pStyle w:val="Kicker"/>
      </w:pPr>
      <w:r>
        <w:rPr>
          <w:rFonts w:ascii="Verdana" w:cs="Verdana" w:eastAsia="Verdana" w:hAnsi="Verdana"/>
        </w:rPr>
        <w:t xml:space="preserve">AIR POLLUTION CONTROL · SYSTEM 01.1</w:t>
      </w:r>
    </w:p>
    <w:p>
      <w:pPr>
        <w:pStyle w:val="Title"/>
      </w:pPr>
      <w:r>
        <w:rPr>
          <w:rFonts w:ascii="Verdana" w:cs="Verdana" w:eastAsia="Verdana" w:hAnsi="Verdana"/>
        </w:rPr>
        <w:t xml:space="preserve">Wet ESP Systems</w:t>
      </w:r>
    </w:p>
    <w:p>
      <w:pPr>
        <w:pStyle w:val="Subtitle"/>
      </w:pPr>
      <w:r>
        <w:rPr>
          <w:rFonts w:ascii="Verdana" w:cs="Verdana" w:eastAsia="Verdana" w:hAnsi="Verdana"/>
        </w:rPr>
        <w:t xml:space="preserve">Wet Electrostatic Precipitator (Wet ESP / WESP)</w:t>
      </w:r>
    </w:p>
    <w:p>
      <w:pPr>
        <w:pStyle w:val="Lead"/>
      </w:pPr>
      <w:r>
        <w:rPr>
          <w:rFonts w:ascii="Verdana" w:cs="Verdana" w:eastAsia="Verdana" w:hAnsi="Verdana"/>
        </w:rPr>
        <w:t xml:space="preserve">Wet Electrostatic Precipitator (Wet ESP or WESP) Systems are widely accepted as the leading technology for control of difficult-to-collect fine particulate emissions.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40"/>
        <w:gridCol w:w="5040"/>
      </w:tblGrid>
      <w:tr>
        <w:tc>
          <w:tcPr>
            <w:tcW w:type="dxa" w:w="5040"/>
            <w:tcBorders>
              <w:top w:val="single" w:color="000000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6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Verdana" w:cs="Verdana" w:eastAsia="Verdana" w:hAnsi="Verdana"/>
                <w:color w:val="6E6E6E"/>
                <w:sz w:val="15"/>
                <w:szCs w:val="15"/>
              </w:rPr>
              <w:t xml:space="preserve">up to</w:t>
            </w:r>
          </w:p>
          <w:p>
            <w:pPr>
              <w:spacing w:after="20" w:line="240"/>
            </w:pPr>
            <w:r>
              <w:rPr>
                <w:rFonts w:ascii="Verdana" w:cs="Verdana" w:eastAsia="Verdana" w:hAnsi="Verdana"/>
                <w:color w:val="235835"/>
                <w:sz w:val="60"/>
                <w:szCs w:val="60"/>
              </w:rPr>
              <w:t xml:space="preserve">99</w:t>
            </w:r>
            <w:r>
              <w:rPr>
                <w:rFonts w:ascii="Verdana" w:cs="Verdana" w:eastAsia="Verdana" w:hAnsi="Verdana"/>
                <w:color w:val="000000"/>
                <w:sz w:val="22"/>
                <w:szCs w:val="22"/>
              </w:rPr>
              <w:t xml:space="preserve"> %</w:t>
            </w:r>
          </w:p>
          <w:p>
            <w:r>
              <w:rPr>
                <w:rFonts w:ascii="Verdana" w:cs="Verdana" w:eastAsia="Verdana" w:hAnsi="Verdana"/>
                <w:b/>
                <w:bCs/>
                <w:color w:val="000000"/>
                <w:spacing w:val="24"/>
                <w:sz w:val="13"/>
                <w:szCs w:val="13"/>
              </w:rPr>
              <w:t xml:space="preserve">COLLECTION EFFICIENCY</w:t>
            </w:r>
          </w:p>
        </w:tc>
        <w:tc>
          <w:tcPr>
            <w:tcW w:type="dxa" w:w="5040"/>
            <w:tcBorders>
              <w:top w:val="single" w:color="000000" w:sz="8"/>
              <w:left w:val="single" w:color="D4D4D4" w:sz="4"/>
              <w:bottom w:val="none" w:color="FFFFFF" w:sz="0"/>
              <w:right w:val="none" w:color="FFFFFF" w:sz="0"/>
            </w:tcBorders>
            <w:tcMar>
              <w:top w:type="dxa" w:w="140"/>
              <w:left w:type="dxa" w:w="240"/>
              <w:bottom w:type="dxa" w:w="6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Verdana" w:cs="Verdana" w:eastAsia="Verdana" w:hAnsi="Verdana"/>
                <w:color w:val="6E6E6E"/>
                <w:sz w:val="15"/>
                <w:szCs w:val="15"/>
              </w:rPr>
              <w:t xml:space="preserve">less than</w:t>
            </w:r>
          </w:p>
          <w:p>
            <w:pPr>
              <w:spacing w:after="20" w:line="240"/>
            </w:pPr>
            <w:r>
              <w:rPr>
                <w:rFonts w:ascii="Verdana" w:cs="Verdana" w:eastAsia="Verdana" w:hAnsi="Verdana"/>
                <w:color w:val="235835"/>
                <w:sz w:val="60"/>
                <w:szCs w:val="60"/>
              </w:rPr>
              <w:t xml:space="preserve">10</w:t>
            </w:r>
            <w:r>
              <w:rPr>
                <w:rFonts w:ascii="Verdana" w:cs="Verdana" w:eastAsia="Verdana" w:hAnsi="Verdana"/>
                <w:color w:val="000000"/>
                <w:sz w:val="22"/>
                <w:szCs w:val="22"/>
              </w:rPr>
              <w:t xml:space="preserve"> mg/Nm³</w:t>
            </w:r>
          </w:p>
          <w:p>
            <w:r>
              <w:rPr>
                <w:rFonts w:ascii="Verdana" w:cs="Verdana" w:eastAsia="Verdana" w:hAnsi="Verdana"/>
                <w:b/>
                <w:bCs/>
                <w:color w:val="000000"/>
                <w:spacing w:val="24"/>
                <w:sz w:val="13"/>
                <w:szCs w:val="13"/>
              </w:rPr>
              <w:t xml:space="preserve">OUTLET LOADING</w:t>
            </w:r>
          </w:p>
        </w:tc>
      </w:tr>
    </w:tbl>
    <w:p>
      <w:pPr>
        <w:pStyle w:val="Caption"/>
      </w:pPr>
      <w:r>
        <w:rPr>
          <w:rFonts w:ascii="Verdana" w:cs="Verdana" w:eastAsia="Verdana" w:hAnsi="Verdana"/>
        </w:rPr>
        <w:t xml:space="preserve">Performance values as published on ahlundberg.com. Project-specific values and guarantees to be confirmed by AHLS.</w:t>
      </w:r>
    </w:p>
    <w:p>
      <w:pPr>
        <w:pStyle w:val="Heading1"/>
        <w:tabs>
          <w:tab w:val="left" w:pos="620"/>
        </w:tabs>
      </w:pPr>
      <w:r>
        <w:rPr>
          <w:rFonts w:ascii="Verdana" w:cs="Verdana" w:eastAsia="Verdana" w:hAnsi="Verdana"/>
          <w:color w:val="6E6E6E"/>
        </w:rPr>
        <w:t xml:space="preserve">01</w:t>
      </w:r>
      <w:r>
        <w:rPr>
          <w:rFonts w:ascii="Verdana" w:cs="Verdana" w:eastAsia="Verdana" w:hAnsi="Verdana"/>
        </w:rPr>
        <w:tab/>
      </w:r>
      <w:r>
        <w:rPr>
          <w:rFonts w:ascii="Verdana" w:cs="Verdana" w:eastAsia="Verdana" w:hAnsi="Verdana"/>
        </w:rPr>
        <w:t xml:space="preserve">CONCEPTUAL SCHEMATIC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846"/>
        <w:gridCol w:w="4234"/>
      </w:tblGrid>
      <w:tr>
        <w:tc>
          <w:tcPr>
            <w:tcW w:type="dxa" w:w="5846"/>
            <w:tcBorders>
              <w:top w:val="single" w:color="D4D4D4" w:sz="4"/>
              <w:left w:val="single" w:color="D4D4D4" w:sz="4"/>
              <w:bottom w:val="single" w:color="D4D4D4" w:sz="4"/>
              <w:right w:val="single" w:color="D4D4D4" w:sz="4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r>
              <w:drawing>
                <wp:inline distT="0" distB="0" distL="0" distR="0">
                  <wp:extent cx="3429000" cy="2667000"/>
                  <wp:effectExtent t="0" r="0" b="0" l="0"/>
                  <wp:docPr id="2" name="Conceptual Wet ESP schematic" descr="Conceptual, not to scale: gas inlet, wash water, collecting tubes with disk-in-tube electrodes, high-frequency power supply, clean gas outlet, collected liquid drain." title="Conceptual Wet ESP schemat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266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2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280"/>
              <w:bottom w:type="dxa" w:w="40"/>
              <w:right w:type="dxa" w:w="0"/>
            </w:tcMar>
            <w:vAlign w:val="top"/>
          </w:tcPr>
          <w:p>
            <w:pPr>
              <w:spacing w:after="100"/>
            </w:pPr>
            <w:r>
              <w:rPr>
                <w:rFonts w:ascii="Verdana" w:cs="Verdana" w:eastAsia="Verdana" w:hAnsi="Verdana"/>
                <w:b/>
                <w:bCs/>
                <w:color w:val="000000"/>
                <w:spacing w:val="30"/>
                <w:sz w:val="12"/>
                <w:szCs w:val="12"/>
              </w:rPr>
              <w:t xml:space="preserve">LEGEND</w:t>
            </w:r>
          </w:p>
          <w:p>
            <w:pPr>
              <w:pBdr>
                <w:bottom w:val="single" w:color="D4D4D4" w:sz="2"/>
              </w:pBdr>
              <w:spacing w:after="90"/>
            </w:pPr>
            <w:r>
              <w:rPr>
                <w:rFonts w:ascii="Verdana" w:cs="Verdana" w:eastAsia="Verdana" w:hAnsi="Verdana"/>
                <w:b/>
                <w:bCs/>
                <w:color w:val="FFFFFF"/>
                <w:sz w:val="14"/>
                <w:szCs w:val="14"/>
                <w:shd w:fill="000000" w:color="auto" w:val="clear"/>
              </w:rPr>
              <w:t xml:space="preserve"> 1 </w:t>
            </w:r>
            <w:r>
              <w:rPr>
                <w:rFonts w:ascii="Verdana" w:cs="Verdana" w:eastAsia="Verdana" w:hAnsi="Verdana"/>
              </w:rPr>
              <w:t xml:space="preserve">  </w:t>
            </w:r>
            <w:r>
              <w:rPr>
                <w:rFonts w:ascii="Verdana" w:cs="Verdana" w:eastAsia="Verdana" w:hAnsi="Verdana"/>
                <w:b/>
                <w:bCs/>
                <w:color w:val="000000"/>
                <w:sz w:val="15"/>
                <w:szCs w:val="15"/>
              </w:rPr>
              <w:t xml:space="preserve">Gas inlet</w:t>
            </w:r>
            <w:r>
              <w:rPr>
                <w:rFonts w:ascii="Verdana" w:cs="Verdana" w:eastAsia="Verdana" w:hAnsi="Verdana"/>
                <w:color w:val="2E2E2E"/>
                <w:sz w:val="15"/>
                <w:szCs w:val="15"/>
              </w:rPr>
              <w:t xml:space="preserve"> — Process off-gas with fine particulate, fumes, aerosols or acid mist.</w:t>
            </w:r>
          </w:p>
          <w:p>
            <w:pPr>
              <w:pBdr>
                <w:bottom w:val="single" w:color="D4D4D4" w:sz="2"/>
              </w:pBdr>
              <w:spacing w:after="90"/>
            </w:pPr>
            <w:r>
              <w:rPr>
                <w:rFonts w:ascii="Verdana" w:cs="Verdana" w:eastAsia="Verdana" w:hAnsi="Verdana"/>
                <w:b/>
                <w:bCs/>
                <w:color w:val="FFFFFF"/>
                <w:sz w:val="14"/>
                <w:szCs w:val="14"/>
                <w:shd w:fill="000000" w:color="auto" w:val="clear"/>
              </w:rPr>
              <w:t xml:space="preserve"> 2 </w:t>
            </w:r>
            <w:r>
              <w:rPr>
                <w:rFonts w:ascii="Verdana" w:cs="Verdana" w:eastAsia="Verdana" w:hAnsi="Verdana"/>
              </w:rPr>
              <w:t xml:space="preserve">  </w:t>
            </w:r>
            <w:r>
              <w:rPr>
                <w:rFonts w:ascii="Verdana" w:cs="Verdana" w:eastAsia="Verdana" w:hAnsi="Verdana"/>
                <w:b/>
                <w:bCs/>
                <w:color w:val="000000"/>
                <w:sz w:val="15"/>
                <w:szCs w:val="15"/>
              </w:rPr>
              <w:t xml:space="preserve">Wash water</w:t>
            </w:r>
            <w:r>
              <w:rPr>
                <w:rFonts w:ascii="Verdana" w:cs="Verdana" w:eastAsia="Verdana" w:hAnsi="Verdana"/>
                <w:color w:val="2E2E2E"/>
                <w:sz w:val="15"/>
                <w:szCs w:val="15"/>
              </w:rPr>
              <w:t xml:space="preserve"> — Integrated water recycle, treatment and disposal (scope option).</w:t>
            </w:r>
          </w:p>
          <w:p>
            <w:pPr>
              <w:pBdr>
                <w:bottom w:val="single" w:color="D4D4D4" w:sz="2"/>
              </w:pBdr>
              <w:spacing w:after="90"/>
            </w:pPr>
            <w:r>
              <w:rPr>
                <w:rFonts w:ascii="Verdana" w:cs="Verdana" w:eastAsia="Verdana" w:hAnsi="Verdana"/>
                <w:b/>
                <w:bCs/>
                <w:color w:val="FFFFFF"/>
                <w:sz w:val="14"/>
                <w:szCs w:val="14"/>
                <w:shd w:fill="000000" w:color="auto" w:val="clear"/>
              </w:rPr>
              <w:t xml:space="preserve"> 3 </w:t>
            </w:r>
            <w:r>
              <w:rPr>
                <w:rFonts w:ascii="Verdana" w:cs="Verdana" w:eastAsia="Verdana" w:hAnsi="Verdana"/>
              </w:rPr>
              <w:t xml:space="preserve">  </w:t>
            </w:r>
            <w:r>
              <w:rPr>
                <w:rFonts w:ascii="Verdana" w:cs="Verdana" w:eastAsia="Verdana" w:hAnsi="Verdana"/>
                <w:b/>
                <w:bCs/>
                <w:color w:val="000000"/>
                <w:sz w:val="15"/>
                <w:szCs w:val="15"/>
              </w:rPr>
              <w:t xml:space="preserve">Collecting tubes</w:t>
            </w:r>
            <w:r>
              <w:rPr>
                <w:rFonts w:ascii="Verdana" w:cs="Verdana" w:eastAsia="Verdana" w:hAnsi="Verdana"/>
                <w:color w:val="2E2E2E"/>
                <w:sz w:val="15"/>
                <w:szCs w:val="15"/>
              </w:rPr>
              <w:t xml:space="preserve"> — Stainless steel on all internal surfaces; higher alloys available.</w:t>
            </w:r>
          </w:p>
          <w:p>
            <w:pPr>
              <w:pBdr>
                <w:bottom w:val="single" w:color="D4D4D4" w:sz="2"/>
              </w:pBdr>
              <w:spacing w:after="90"/>
            </w:pPr>
            <w:r>
              <w:rPr>
                <w:rFonts w:ascii="Verdana" w:cs="Verdana" w:eastAsia="Verdana" w:hAnsi="Verdana"/>
                <w:b/>
                <w:bCs/>
                <w:color w:val="FFFFFF"/>
                <w:sz w:val="14"/>
                <w:szCs w:val="14"/>
                <w:shd w:fill="000000" w:color="auto" w:val="clear"/>
              </w:rPr>
              <w:t xml:space="preserve"> 4 </w:t>
            </w:r>
            <w:r>
              <w:rPr>
                <w:rFonts w:ascii="Verdana" w:cs="Verdana" w:eastAsia="Verdana" w:hAnsi="Verdana"/>
              </w:rPr>
              <w:t xml:space="preserve">  </w:t>
            </w:r>
            <w:r>
              <w:rPr>
                <w:rFonts w:ascii="Verdana" w:cs="Verdana" w:eastAsia="Verdana" w:hAnsi="Verdana"/>
                <w:b/>
                <w:bCs/>
                <w:color w:val="000000"/>
                <w:sz w:val="15"/>
                <w:szCs w:val="15"/>
              </w:rPr>
              <w:t xml:space="preserve">Disk-in-tube electrodes</w:t>
            </w:r>
            <w:r>
              <w:rPr>
                <w:rFonts w:ascii="Verdana" w:cs="Verdana" w:eastAsia="Verdana" w:hAnsi="Verdana"/>
                <w:color w:val="2E2E2E"/>
                <w:sz w:val="15"/>
                <w:szCs w:val="15"/>
              </w:rPr>
              <w:t xml:space="preserve"> — Proprietary AHLS electrode configuration.</w:t>
            </w:r>
          </w:p>
          <w:p>
            <w:pPr>
              <w:pBdr>
                <w:bottom w:val="single" w:color="D4D4D4" w:sz="2"/>
              </w:pBdr>
              <w:spacing w:after="90"/>
            </w:pPr>
            <w:r>
              <w:rPr>
                <w:rFonts w:ascii="Verdana" w:cs="Verdana" w:eastAsia="Verdana" w:hAnsi="Verdana"/>
                <w:b/>
                <w:bCs/>
                <w:color w:val="FFFFFF"/>
                <w:sz w:val="14"/>
                <w:szCs w:val="14"/>
                <w:shd w:fill="000000" w:color="auto" w:val="clear"/>
              </w:rPr>
              <w:t xml:space="preserve"> 5 </w:t>
            </w:r>
            <w:r>
              <w:rPr>
                <w:rFonts w:ascii="Verdana" w:cs="Verdana" w:eastAsia="Verdana" w:hAnsi="Verdana"/>
              </w:rPr>
              <w:t xml:space="preserve">  </w:t>
            </w:r>
            <w:r>
              <w:rPr>
                <w:rFonts w:ascii="Verdana" w:cs="Verdana" w:eastAsia="Verdana" w:hAnsi="Verdana"/>
                <w:b/>
                <w:bCs/>
                <w:color w:val="000000"/>
                <w:sz w:val="15"/>
                <w:szCs w:val="15"/>
              </w:rPr>
              <w:t xml:space="preserve">High-frequency power supply</w:t>
            </w:r>
            <w:r>
              <w:rPr>
                <w:rFonts w:ascii="Verdana" w:cs="Verdana" w:eastAsia="Verdana" w:hAnsi="Verdana"/>
                <w:color w:val="2E2E2E"/>
                <w:sz w:val="15"/>
                <w:szCs w:val="15"/>
              </w:rPr>
              <w:t xml:space="preserve"> — Maximizes total electric field and available power.</w:t>
            </w:r>
          </w:p>
          <w:p>
            <w:pPr>
              <w:pBdr>
                <w:bottom w:val="single" w:color="D4D4D4" w:sz="2"/>
              </w:pBdr>
              <w:spacing w:after="90"/>
            </w:pPr>
            <w:r>
              <w:rPr>
                <w:rFonts w:ascii="Verdana" w:cs="Verdana" w:eastAsia="Verdana" w:hAnsi="Verdana"/>
                <w:b/>
                <w:bCs/>
                <w:color w:val="FFFFFF"/>
                <w:sz w:val="14"/>
                <w:szCs w:val="14"/>
                <w:shd w:fill="000000" w:color="auto" w:val="clear"/>
              </w:rPr>
              <w:t xml:space="preserve"> 6 </w:t>
            </w:r>
            <w:r>
              <w:rPr>
                <w:rFonts w:ascii="Verdana" w:cs="Verdana" w:eastAsia="Verdana" w:hAnsi="Verdana"/>
              </w:rPr>
              <w:t xml:space="preserve">  </w:t>
            </w:r>
            <w:r>
              <w:rPr>
                <w:rFonts w:ascii="Verdana" w:cs="Verdana" w:eastAsia="Verdana" w:hAnsi="Verdana"/>
                <w:b/>
                <w:bCs/>
                <w:color w:val="000000"/>
                <w:sz w:val="15"/>
                <w:szCs w:val="15"/>
              </w:rPr>
              <w:t xml:space="preserve">Clean gas outlet</w:t>
            </w:r>
            <w:r>
              <w:rPr>
                <w:rFonts w:ascii="Verdana" w:cs="Verdana" w:eastAsia="Verdana" w:hAnsi="Verdana"/>
                <w:color w:val="2E2E2E"/>
                <w:sz w:val="15"/>
                <w:szCs w:val="15"/>
              </w:rPr>
              <w:t xml:space="preserve"> — Up to 99% collection efficiency; outlet loading &lt; 10 mg/Nm³ (published).</w:t>
            </w:r>
          </w:p>
          <w:p>
            <w:pPr>
              <w:pBdr>
                <w:bottom w:val="single" w:color="D4D4D4" w:sz="2"/>
              </w:pBdr>
              <w:spacing w:after="90"/>
            </w:pPr>
            <w:r>
              <w:rPr>
                <w:rFonts w:ascii="Verdana" w:cs="Verdana" w:eastAsia="Verdana" w:hAnsi="Verdana"/>
                <w:b/>
                <w:bCs/>
                <w:color w:val="FFFFFF"/>
                <w:sz w:val="14"/>
                <w:szCs w:val="14"/>
                <w:shd w:fill="000000" w:color="auto" w:val="clear"/>
              </w:rPr>
              <w:t xml:space="preserve"> 7 </w:t>
            </w:r>
            <w:r>
              <w:rPr>
                <w:rFonts w:ascii="Verdana" w:cs="Verdana" w:eastAsia="Verdana" w:hAnsi="Verdana"/>
              </w:rPr>
              <w:t xml:space="preserve">  </w:t>
            </w:r>
            <w:r>
              <w:rPr>
                <w:rFonts w:ascii="Verdana" w:cs="Verdana" w:eastAsia="Verdana" w:hAnsi="Verdana"/>
                <w:b/>
                <w:bCs/>
                <w:color w:val="000000"/>
                <w:sz w:val="15"/>
                <w:szCs w:val="15"/>
              </w:rPr>
              <w:t xml:space="preserve">Collected liquid</w:t>
            </w:r>
            <w:r>
              <w:rPr>
                <w:rFonts w:ascii="Verdana" w:cs="Verdana" w:eastAsia="Verdana" w:hAnsi="Verdana"/>
                <w:color w:val="2E2E2E"/>
                <w:sz w:val="15"/>
                <w:szCs w:val="15"/>
              </w:rPr>
              <w:t xml:space="preserve"> — Drained to the water recycle and treatment system.</w:t>
            </w:r>
          </w:p>
        </w:tc>
      </w:tr>
    </w:tbl>
    <w:p>
      <w:pPr>
        <w:pStyle w:val="Caption"/>
      </w:pPr>
      <w:r>
        <w:rPr>
          <w:rFonts w:ascii="Verdana" w:cs="Verdana" w:eastAsia="Verdana" w:hAnsi="Verdana"/>
          <w:b/>
          <w:bCs/>
          <w:color w:val="000000"/>
        </w:rPr>
        <w:t xml:space="preserve">Fig. 1  </w:t>
      </w:r>
      <w:r>
        <w:rPr>
          <w:rFonts w:ascii="Verdana" w:cs="Verdana" w:eastAsia="Verdana" w:hAnsi="Verdana"/>
        </w:rPr>
        <w:t xml:space="preserve">Conceptual Wet ESP schematic, upflow arrangement shown (downflow also available). Not to scale.</w:t>
      </w:r>
    </w:p>
    <w:p>
      <w:pPr>
        <w:pStyle w:val="Warning"/>
      </w:pPr>
      <w:r>
        <w:rPr>
          <w:rFonts w:ascii="Verdana" w:cs="Verdana" w:eastAsia="Verdana" w:hAnsi="Verdana"/>
        </w:rPr>
        <w:t xml:space="preserve">CONCEPTUAL ILLUSTRATION — GEOMETRY AND COMPONENTS TO BE VERIFIED BY AHLS ENGINEERING</w:t>
      </w:r>
    </w:p>
    <w:p>
      <w:r>
        <w:br w:type="page"/>
      </w:r>
    </w:p>
    <w:p>
      <w:pPr>
        <w:pStyle w:val="Heading1"/>
        <w:tabs>
          <w:tab w:val="left" w:pos="620"/>
        </w:tabs>
      </w:pPr>
      <w:r>
        <w:rPr>
          <w:rFonts w:ascii="Verdana" w:cs="Verdana" w:eastAsia="Verdana" w:hAnsi="Verdana"/>
          <w:color w:val="6E6E6E"/>
        </w:rPr>
        <w:t xml:space="preserve">02</w:t>
      </w:r>
      <w:r>
        <w:rPr>
          <w:rFonts w:ascii="Verdana" w:cs="Verdana" w:eastAsia="Verdana" w:hAnsi="Verdana"/>
        </w:rPr>
        <w:tab/>
      </w:r>
      <w:r>
        <w:rPr>
          <w:rFonts w:ascii="Verdana" w:cs="Verdana" w:eastAsia="Verdana" w:hAnsi="Verdana"/>
        </w:rPr>
        <w:t xml:space="preserve">PURPOSE AND PRINCIPLE</w:t>
      </w:r>
    </w:p>
    <w:p>
      <w:r>
        <w:rPr>
          <w:rFonts w:ascii="Verdana" w:cs="Verdana" w:eastAsia="Verdana" w:hAnsi="Verdana"/>
        </w:rPr>
        <w:t xml:space="preserve">The collection of fine particulate emissions is often one of the most difficult environmental control problems faced by industry. Sub-micron particles (e.g. PM2.5) present a significant threat to human health and are one of the leading causes of smog.</w:t>
      </w:r>
    </w:p>
    <w:p>
      <w:r>
        <w:rPr>
          <w:rFonts w:ascii="Verdana" w:cs="Verdana" w:eastAsia="Verdana" w:hAnsi="Verdana"/>
        </w:rPr>
        <w:t xml:space="preserve">AHL’s Wet ESP design features a proprietary disk-in-tube electrode configuration and a state-of-the-art high frequency power supply that maximizes the total electric field and available power to ensure the highest possible particulate collection efficiency.</w:t>
      </w:r>
    </w:p>
    <w:p>
      <w:r>
        <w:rPr>
          <w:rFonts w:ascii="Verdana" w:cs="Verdana" w:eastAsia="Verdana" w:hAnsi="Verdana"/>
        </w:rPr>
        <w:t xml:space="preserve">AHLS designs the inlet of the Wet ESP for upflow or downflow gas handling to meet the requirements of the waste stream.</w:t>
      </w:r>
    </w:p>
    <w:p>
      <w:pPr>
        <w:pStyle w:val="Heading1"/>
        <w:tabs>
          <w:tab w:val="left" w:pos="620"/>
        </w:tabs>
      </w:pPr>
      <w:r>
        <w:rPr>
          <w:rFonts w:ascii="Verdana" w:cs="Verdana" w:eastAsia="Verdana" w:hAnsi="Verdana"/>
          <w:color w:val="6E6E6E"/>
        </w:rPr>
        <w:t xml:space="preserve">03</w:t>
      </w:r>
      <w:r>
        <w:rPr>
          <w:rFonts w:ascii="Verdana" w:cs="Verdana" w:eastAsia="Verdana" w:hAnsi="Verdana"/>
        </w:rPr>
        <w:tab/>
      </w:r>
      <w:r>
        <w:rPr>
          <w:rFonts w:ascii="Verdana" w:cs="Verdana" w:eastAsia="Verdana" w:hAnsi="Verdana"/>
        </w:rPr>
        <w:t xml:space="preserve">DESIGN AND SCOPE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20"/>
        <w:gridCol w:w="240"/>
        <w:gridCol w:w="4920"/>
      </w:tblGrid>
      <w:tr>
        <w:tc>
          <w:tcPr>
            <w:tcW w:type="dxa" w:w="4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Bdr>
                <w:bottom w:val="single" w:color="000000" w:sz="6"/>
              </w:pBdr>
              <w:spacing w:after="120"/>
            </w:pPr>
            <w:r>
              <w:rPr>
                <w:rFonts w:ascii="Verdana" w:cs="Verdana" w:eastAsia="Verdana" w:hAnsi="Verdana"/>
                <w:b/>
                <w:bCs/>
                <w:color w:val="000000"/>
                <w:spacing w:val="30"/>
                <w:sz w:val="12"/>
                <w:szCs w:val="12"/>
              </w:rPr>
              <w:t xml:space="preserve">DESIGN FEATURES — PUBLISHED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70"/>
            </w:pPr>
            <w:r>
              <w:rPr>
                <w:rFonts w:ascii="Verdana" w:cs="Verdana" w:eastAsia="Verdana" w:hAnsi="Verdana"/>
              </w:rPr>
              <w:t xml:space="preserve">Proprietary disk-in-tube electrode configuration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70"/>
            </w:pPr>
            <w:r>
              <w:rPr>
                <w:rFonts w:ascii="Verdana" w:cs="Verdana" w:eastAsia="Verdana" w:hAnsi="Verdana"/>
              </w:rPr>
              <w:t xml:space="preserve">High frequency power supply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70"/>
            </w:pPr>
            <w:r>
              <w:rPr>
                <w:rFonts w:ascii="Verdana" w:cs="Verdana" w:eastAsia="Verdana" w:hAnsi="Verdana"/>
              </w:rPr>
              <w:t xml:space="preserve">Inlet designed for upflow or downflow gas handling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70"/>
            </w:pPr>
            <w:r>
              <w:rPr>
                <w:rFonts w:ascii="Verdana" w:cs="Verdana" w:eastAsia="Verdana" w:hAnsi="Verdana"/>
              </w:rPr>
              <w:t xml:space="preserve">Heavy-duty modular construction for easy installation and long service life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70"/>
            </w:pPr>
            <w:r>
              <w:rPr>
                <w:rFonts w:ascii="Verdana" w:cs="Verdana" w:eastAsia="Verdana" w:hAnsi="Verdana"/>
              </w:rPr>
              <w:t xml:space="preserve">Stainless steel on all internal surfaces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70"/>
            </w:pPr>
            <w:r>
              <w:rPr>
                <w:rFonts w:ascii="Verdana" w:cs="Verdana" w:eastAsia="Verdana" w:hAnsi="Verdana"/>
              </w:rPr>
              <w:t xml:space="preserve">Higher corrosion-resistant materials available as the process requires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r>
              <w:rPr>
                <w:rFonts w:ascii="Verdana" w:cs="Verdana" w:eastAsia="Verdana" w:hAnsi="Verdana"/>
              </w:rPr>
              <w:t xml:space="preserve"/>
            </w:r>
          </w:p>
        </w:tc>
        <w:tc>
          <w:tcPr>
            <w:tcW w:type="dxa" w:w="4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Bdr>
                <w:bottom w:val="single" w:color="000000" w:sz="6"/>
              </w:pBdr>
              <w:spacing w:after="120"/>
            </w:pPr>
            <w:r>
              <w:rPr>
                <w:rFonts w:ascii="Verdana" w:cs="Verdana" w:eastAsia="Verdana" w:hAnsi="Verdana"/>
                <w:b/>
                <w:bCs/>
                <w:color w:val="000000"/>
                <w:spacing w:val="30"/>
                <w:sz w:val="12"/>
                <w:szCs w:val="12"/>
              </w:rPr>
              <w:t xml:space="preserve">SCOPE OPTIONS — PUBLISHED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70"/>
            </w:pPr>
            <w:r>
              <w:rPr>
                <w:rFonts w:ascii="Verdana" w:cs="Verdana" w:eastAsia="Verdana" w:hAnsi="Verdana"/>
              </w:rPr>
              <w:t xml:space="preserve">Full turnkey installation including tie-ins to the process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70"/>
            </w:pPr>
            <w:r>
              <w:rPr>
                <w:rFonts w:ascii="Verdana" w:cs="Verdana" w:eastAsia="Verdana" w:hAnsi="Verdana"/>
              </w:rPr>
              <w:t xml:space="preserve">Integrated water recycle, treatment and disposal systems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70"/>
            </w:pPr>
            <w:r>
              <w:rPr>
                <w:rFonts w:ascii="Verdana" w:cs="Verdana" w:eastAsia="Verdana" w:hAnsi="Verdana"/>
              </w:rPr>
              <w:t xml:space="preserve">Upstream cyclone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70"/>
            </w:pPr>
            <w:r>
              <w:rPr>
                <w:rFonts w:ascii="Verdana" w:cs="Verdana" w:eastAsia="Verdana" w:hAnsi="Verdana"/>
              </w:rPr>
              <w:t xml:space="preserve">Upstream and downstream chemical scrubbing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70"/>
            </w:pPr>
            <w:r>
              <w:rPr>
                <w:rFonts w:ascii="Verdana" w:cs="Verdana" w:eastAsia="Verdana" w:hAnsi="Verdana"/>
              </w:rPr>
              <w:t xml:space="preserve">Integration with RTO or RCO</w:t>
            </w:r>
          </w:p>
        </w:tc>
      </w:tr>
    </w:tbl>
    <w:p>
      <w:pPr>
        <w:pStyle w:val="Heading1"/>
        <w:tabs>
          <w:tab w:val="left" w:pos="620"/>
        </w:tabs>
      </w:pPr>
      <w:r>
        <w:rPr>
          <w:rFonts w:ascii="Verdana" w:cs="Verdana" w:eastAsia="Verdana" w:hAnsi="Verdana"/>
          <w:color w:val="6E6E6E"/>
        </w:rPr>
        <w:t xml:space="preserve">04</w:t>
      </w:r>
      <w:r>
        <w:rPr>
          <w:rFonts w:ascii="Verdana" w:cs="Verdana" w:eastAsia="Verdana" w:hAnsi="Verdana"/>
        </w:rPr>
        <w:tab/>
      </w:r>
      <w:r>
        <w:rPr>
          <w:rFonts w:ascii="Verdana" w:cs="Verdana" w:eastAsia="Verdana" w:hAnsi="Verdana"/>
        </w:rPr>
        <w:t xml:space="preserve">TECHNICAL DATA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27"/>
        <w:gridCol w:w="3830"/>
        <w:gridCol w:w="1210"/>
        <w:gridCol w:w="1613"/>
      </w:tblGrid>
      <w:tr>
        <w:trPr>
          <w:tblHeader/>
        </w:trPr>
        <w:tc>
          <w:tcPr>
            <w:tcW w:type="dxa" w:w="3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00000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b/>
                <w:bCs/>
                <w:color w:val="FFFFFF"/>
                <w:spacing w:val="20"/>
                <w:sz w:val="11"/>
                <w:szCs w:val="11"/>
              </w:rPr>
              <w:t xml:space="preserve">PARAMETER</w:t>
            </w:r>
          </w:p>
        </w:tc>
        <w:tc>
          <w:tcPr>
            <w:tcW w:type="dxa" w:w="3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00000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b/>
                <w:bCs/>
                <w:color w:val="FFFFFF"/>
                <w:spacing w:val="20"/>
                <w:sz w:val="11"/>
                <w:szCs w:val="11"/>
              </w:rPr>
              <w:t xml:space="preserve">VALUE</w:t>
            </w:r>
          </w:p>
        </w:tc>
        <w:tc>
          <w:tcPr>
            <w:tcW w:type="dxa" w:w="12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00000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b/>
                <w:bCs/>
                <w:color w:val="FFFFFF"/>
                <w:spacing w:val="20"/>
                <w:sz w:val="11"/>
                <w:szCs w:val="11"/>
              </w:rPr>
              <w:t xml:space="preserve">UNIT</w:t>
            </w:r>
          </w:p>
        </w:tc>
        <w:tc>
          <w:tcPr>
            <w:tcW w:type="dxa" w:w="16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00000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b/>
                <w:bCs/>
                <w:color w:val="FFFFFF"/>
                <w:spacing w:val="20"/>
                <w:sz w:val="11"/>
                <w:szCs w:val="11"/>
              </w:rPr>
              <w:t xml:space="preserve">STATUS</w:t>
            </w:r>
          </w:p>
        </w:tc>
      </w:tr>
      <w:tr>
        <w:trPr>
          <w:cantSplit/>
        </w:trPr>
        <w:tc>
          <w:tcPr>
            <w:tcW w:type="dxa" w:w="10080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9EFE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keepNext/>
            </w:pPr>
            <w:r>
              <w:rPr>
                <w:rFonts w:ascii="Verdana" w:cs="Verdana" w:eastAsia="Verdana" w:hAnsi="Verdana"/>
                <w:b/>
                <w:bCs/>
                <w:color w:val="235835"/>
                <w:spacing w:val="24"/>
                <w:sz w:val="11"/>
                <w:szCs w:val="11"/>
              </w:rPr>
              <w:t xml:space="preserve">PERFORMANCE</w:t>
            </w:r>
          </w:p>
        </w:tc>
      </w:tr>
      <w:tr>
        <w:tc>
          <w:tcPr>
            <w:tcW w:type="dxa" w:w="3427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color w:val="000000"/>
                <w:sz w:val="15"/>
                <w:szCs w:val="15"/>
              </w:rPr>
              <w:t xml:space="preserve">Collection efficiency</w:t>
            </w:r>
          </w:p>
        </w:tc>
        <w:tc>
          <w:tcPr>
            <w:tcW w:type="dxa" w:w="3830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i w:val="false"/>
                <w:iCs w:val="false"/>
                <w:color w:val="2E2E2E"/>
                <w:sz w:val="15"/>
                <w:szCs w:val="15"/>
              </w:rPr>
              <w:t xml:space="preserve">Up to 99</w:t>
            </w:r>
          </w:p>
        </w:tc>
        <w:tc>
          <w:tcPr>
            <w:tcW w:type="dxa" w:w="1210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color w:val="2E2E2E"/>
                <w:sz w:val="15"/>
                <w:szCs w:val="15"/>
              </w:rPr>
              <w:t xml:space="preserve">%</w:t>
            </w:r>
          </w:p>
        </w:tc>
        <w:tc>
          <w:tcPr>
            <w:tcW w:type="dxa" w:w="1613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b w:val="false"/>
                <w:bCs w:val="false"/>
                <w:color w:val="235835"/>
                <w:sz w:val="13"/>
                <w:szCs w:val="13"/>
              </w:rPr>
              <w:t xml:space="preserve">Published</w:t>
            </w:r>
          </w:p>
        </w:tc>
      </w:tr>
      <w:tr>
        <w:tc>
          <w:tcPr>
            <w:tcW w:type="dxa" w:w="3427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color w:val="000000"/>
                <w:sz w:val="15"/>
                <w:szCs w:val="15"/>
              </w:rPr>
              <w:t xml:space="preserve">Outlet loading</w:t>
            </w:r>
          </w:p>
        </w:tc>
        <w:tc>
          <w:tcPr>
            <w:tcW w:type="dxa" w:w="3830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i w:val="false"/>
                <w:iCs w:val="false"/>
                <w:color w:val="2E2E2E"/>
                <w:sz w:val="15"/>
                <w:szCs w:val="15"/>
              </w:rPr>
              <w:t xml:space="preserve">&lt; 10</w:t>
            </w:r>
          </w:p>
        </w:tc>
        <w:tc>
          <w:tcPr>
            <w:tcW w:type="dxa" w:w="1210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color w:val="2E2E2E"/>
                <w:sz w:val="15"/>
                <w:szCs w:val="15"/>
              </w:rPr>
              <w:t xml:space="preserve">mg/Nm³</w:t>
            </w:r>
          </w:p>
        </w:tc>
        <w:tc>
          <w:tcPr>
            <w:tcW w:type="dxa" w:w="1613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b w:val="false"/>
                <w:bCs w:val="false"/>
                <w:color w:val="235835"/>
                <w:sz w:val="13"/>
                <w:szCs w:val="13"/>
              </w:rPr>
              <w:t xml:space="preserve">Published</w:t>
            </w:r>
          </w:p>
        </w:tc>
      </w:tr>
      <w:tr>
        <w:tc>
          <w:tcPr>
            <w:tcW w:type="dxa" w:w="3427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color w:val="000000"/>
                <w:sz w:val="15"/>
                <w:szCs w:val="15"/>
              </w:rPr>
              <w:t xml:space="preserve">Target pollutants</w:t>
            </w:r>
          </w:p>
        </w:tc>
        <w:tc>
          <w:tcPr>
            <w:tcW w:type="dxa" w:w="3830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i w:val="false"/>
                <w:iCs w:val="false"/>
                <w:color w:val="2E2E2E"/>
                <w:sz w:val="15"/>
                <w:szCs w:val="15"/>
              </w:rPr>
              <w:t xml:space="preserve">Sub-micron particulate, fumes, condensable organic aerosols, acid mist</w:t>
            </w:r>
          </w:p>
        </w:tc>
        <w:tc>
          <w:tcPr>
            <w:tcW w:type="dxa" w:w="1210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color w:val="2E2E2E"/>
                <w:sz w:val="15"/>
                <w:szCs w:val="15"/>
              </w:rPr>
              <w:t xml:space="preserve">—</w:t>
            </w:r>
          </w:p>
        </w:tc>
        <w:tc>
          <w:tcPr>
            <w:tcW w:type="dxa" w:w="1613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b w:val="false"/>
                <w:bCs w:val="false"/>
                <w:color w:val="235835"/>
                <w:sz w:val="13"/>
                <w:szCs w:val="13"/>
              </w:rPr>
              <w:t xml:space="preserve">Published</w:t>
            </w:r>
          </w:p>
        </w:tc>
      </w:tr>
      <w:tr>
        <w:trPr>
          <w:cantSplit/>
        </w:trPr>
        <w:tc>
          <w:tcPr>
            <w:tcW w:type="dxa" w:w="10080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9EFE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keepNext/>
            </w:pPr>
            <w:r>
              <w:rPr>
                <w:rFonts w:ascii="Verdana" w:cs="Verdana" w:eastAsia="Verdana" w:hAnsi="Verdana"/>
                <w:b/>
                <w:bCs/>
                <w:color w:val="235835"/>
                <w:spacing w:val="24"/>
                <w:sz w:val="11"/>
                <w:szCs w:val="11"/>
              </w:rPr>
              <w:t xml:space="preserve">DESIGN</w:t>
            </w:r>
          </w:p>
        </w:tc>
      </w:tr>
      <w:tr>
        <w:tc>
          <w:tcPr>
            <w:tcW w:type="dxa" w:w="3427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color w:val="000000"/>
                <w:sz w:val="15"/>
                <w:szCs w:val="15"/>
              </w:rPr>
              <w:t xml:space="preserve">Electrode configuration</w:t>
            </w:r>
          </w:p>
        </w:tc>
        <w:tc>
          <w:tcPr>
            <w:tcW w:type="dxa" w:w="3830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i w:val="false"/>
                <w:iCs w:val="false"/>
                <w:color w:val="2E2E2E"/>
                <w:sz w:val="15"/>
                <w:szCs w:val="15"/>
              </w:rPr>
              <w:t xml:space="preserve">Proprietary disk-in-tube</w:t>
            </w:r>
          </w:p>
        </w:tc>
        <w:tc>
          <w:tcPr>
            <w:tcW w:type="dxa" w:w="1210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color w:val="2E2E2E"/>
                <w:sz w:val="15"/>
                <w:szCs w:val="15"/>
              </w:rPr>
              <w:t xml:space="preserve">—</w:t>
            </w:r>
          </w:p>
        </w:tc>
        <w:tc>
          <w:tcPr>
            <w:tcW w:type="dxa" w:w="1613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b w:val="false"/>
                <w:bCs w:val="false"/>
                <w:color w:val="235835"/>
                <w:sz w:val="13"/>
                <w:szCs w:val="13"/>
              </w:rPr>
              <w:t xml:space="preserve">Published</w:t>
            </w:r>
          </w:p>
        </w:tc>
      </w:tr>
      <w:tr>
        <w:tc>
          <w:tcPr>
            <w:tcW w:type="dxa" w:w="3427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color w:val="000000"/>
                <w:sz w:val="15"/>
                <w:szCs w:val="15"/>
              </w:rPr>
              <w:t xml:space="preserve">Power supply</w:t>
            </w:r>
          </w:p>
        </w:tc>
        <w:tc>
          <w:tcPr>
            <w:tcW w:type="dxa" w:w="3830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i w:val="false"/>
                <w:iCs w:val="false"/>
                <w:color w:val="2E2E2E"/>
                <w:sz w:val="15"/>
                <w:szCs w:val="15"/>
              </w:rPr>
              <w:t xml:space="preserve">High frequency</w:t>
            </w:r>
          </w:p>
        </w:tc>
        <w:tc>
          <w:tcPr>
            <w:tcW w:type="dxa" w:w="1210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color w:val="2E2E2E"/>
                <w:sz w:val="15"/>
                <w:szCs w:val="15"/>
              </w:rPr>
              <w:t xml:space="preserve">—</w:t>
            </w:r>
          </w:p>
        </w:tc>
        <w:tc>
          <w:tcPr>
            <w:tcW w:type="dxa" w:w="1613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b w:val="false"/>
                <w:bCs w:val="false"/>
                <w:color w:val="235835"/>
                <w:sz w:val="13"/>
                <w:szCs w:val="13"/>
              </w:rPr>
              <w:t xml:space="preserve">Published</w:t>
            </w:r>
          </w:p>
        </w:tc>
      </w:tr>
      <w:tr>
        <w:tc>
          <w:tcPr>
            <w:tcW w:type="dxa" w:w="3427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color w:val="000000"/>
                <w:sz w:val="15"/>
                <w:szCs w:val="15"/>
              </w:rPr>
              <w:t xml:space="preserve">Gas flow arrangement</w:t>
            </w:r>
          </w:p>
        </w:tc>
        <w:tc>
          <w:tcPr>
            <w:tcW w:type="dxa" w:w="3830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i w:val="false"/>
                <w:iCs w:val="false"/>
                <w:color w:val="2E2E2E"/>
                <w:sz w:val="15"/>
                <w:szCs w:val="15"/>
              </w:rPr>
              <w:t xml:space="preserve">Upflow or downflow inlet, per waste stream</w:t>
            </w:r>
          </w:p>
        </w:tc>
        <w:tc>
          <w:tcPr>
            <w:tcW w:type="dxa" w:w="1210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color w:val="2E2E2E"/>
                <w:sz w:val="15"/>
                <w:szCs w:val="15"/>
              </w:rPr>
              <w:t xml:space="preserve">—</w:t>
            </w:r>
          </w:p>
        </w:tc>
        <w:tc>
          <w:tcPr>
            <w:tcW w:type="dxa" w:w="1613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b w:val="false"/>
                <w:bCs w:val="false"/>
                <w:color w:val="235835"/>
                <w:sz w:val="13"/>
                <w:szCs w:val="13"/>
              </w:rPr>
              <w:t xml:space="preserve">Published</w:t>
            </w:r>
          </w:p>
        </w:tc>
      </w:tr>
      <w:tr>
        <w:tc>
          <w:tcPr>
            <w:tcW w:type="dxa" w:w="3427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color w:val="000000"/>
                <w:sz w:val="15"/>
                <w:szCs w:val="15"/>
              </w:rPr>
              <w:t xml:space="preserve">Internal materials</w:t>
            </w:r>
          </w:p>
        </w:tc>
        <w:tc>
          <w:tcPr>
            <w:tcW w:type="dxa" w:w="3830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i w:val="false"/>
                <w:iCs w:val="false"/>
                <w:color w:val="2E2E2E"/>
                <w:sz w:val="15"/>
                <w:szCs w:val="15"/>
              </w:rPr>
              <w:t xml:space="preserve">Stainless steel on all internal surfaces; higher alloys available</w:t>
            </w:r>
          </w:p>
        </w:tc>
        <w:tc>
          <w:tcPr>
            <w:tcW w:type="dxa" w:w="1210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color w:val="2E2E2E"/>
                <w:sz w:val="15"/>
                <w:szCs w:val="15"/>
              </w:rPr>
              <w:t xml:space="preserve">—</w:t>
            </w:r>
          </w:p>
        </w:tc>
        <w:tc>
          <w:tcPr>
            <w:tcW w:type="dxa" w:w="1613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b w:val="false"/>
                <w:bCs w:val="false"/>
                <w:color w:val="235835"/>
                <w:sz w:val="13"/>
                <w:szCs w:val="13"/>
              </w:rPr>
              <w:t xml:space="preserve">Published</w:t>
            </w:r>
          </w:p>
        </w:tc>
      </w:tr>
      <w:tr>
        <w:tc>
          <w:tcPr>
            <w:tcW w:type="dxa" w:w="3427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color w:val="000000"/>
                <w:sz w:val="15"/>
                <w:szCs w:val="15"/>
              </w:rPr>
              <w:t xml:space="preserve">Construction</w:t>
            </w:r>
          </w:p>
        </w:tc>
        <w:tc>
          <w:tcPr>
            <w:tcW w:type="dxa" w:w="3830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i w:val="false"/>
                <w:iCs w:val="false"/>
                <w:color w:val="2E2E2E"/>
                <w:sz w:val="15"/>
                <w:szCs w:val="15"/>
              </w:rPr>
              <w:t xml:space="preserve">Heavy-duty, modular</w:t>
            </w:r>
          </w:p>
        </w:tc>
        <w:tc>
          <w:tcPr>
            <w:tcW w:type="dxa" w:w="1210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color w:val="2E2E2E"/>
                <w:sz w:val="15"/>
                <w:szCs w:val="15"/>
              </w:rPr>
              <w:t xml:space="preserve">—</w:t>
            </w:r>
          </w:p>
        </w:tc>
        <w:tc>
          <w:tcPr>
            <w:tcW w:type="dxa" w:w="1613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b w:val="false"/>
                <w:bCs w:val="false"/>
                <w:color w:val="235835"/>
                <w:sz w:val="13"/>
                <w:szCs w:val="13"/>
              </w:rPr>
              <w:t xml:space="preserve">Published</w:t>
            </w:r>
          </w:p>
        </w:tc>
      </w:tr>
      <w:tr>
        <w:trPr>
          <w:cantSplit/>
        </w:trPr>
        <w:tc>
          <w:tcPr>
            <w:tcW w:type="dxa" w:w="10080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9EFE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keepNext/>
            </w:pPr>
            <w:r>
              <w:rPr>
                <w:rFonts w:ascii="Verdana" w:cs="Verdana" w:eastAsia="Verdana" w:hAnsi="Verdana"/>
                <w:b/>
                <w:bCs/>
                <w:color w:val="235835"/>
                <w:spacing w:val="24"/>
                <w:sz w:val="11"/>
                <w:szCs w:val="11"/>
              </w:rPr>
              <w:t xml:space="preserve">PROCESS DATA</w:t>
            </w:r>
          </w:p>
        </w:tc>
      </w:tr>
      <w:tr>
        <w:tc>
          <w:tcPr>
            <w:tcW w:type="dxa" w:w="3427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color w:val="000000"/>
                <w:sz w:val="15"/>
                <w:szCs w:val="15"/>
              </w:rPr>
              <w:t xml:space="preserve">Design gas flow</w:t>
            </w:r>
          </w:p>
        </w:tc>
        <w:tc>
          <w:tcPr>
            <w:tcW w:type="dxa" w:w="3830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shd w:fill="F3F4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i/>
                <w:iCs/>
                <w:color w:val="6E6E6E"/>
                <w:sz w:val="15"/>
                <w:szCs w:val="15"/>
              </w:rPr>
              <w:t xml:space="preserve">[To be confirmed by AHLS engineering]</w:t>
            </w:r>
          </w:p>
        </w:tc>
        <w:tc>
          <w:tcPr>
            <w:tcW w:type="dxa" w:w="1210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color w:val="2E2E2E"/>
                <w:sz w:val="15"/>
                <w:szCs w:val="15"/>
              </w:rPr>
              <w:t xml:space="preserve">Nm³/h</w:t>
            </w:r>
          </w:p>
        </w:tc>
        <w:tc>
          <w:tcPr>
            <w:tcW w:type="dxa" w:w="1613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b/>
                <w:bCs/>
                <w:color w:val="000000"/>
                <w:sz w:val="13"/>
                <w:szCs w:val="13"/>
              </w:rPr>
              <w:t xml:space="preserve">To confirm</w:t>
            </w:r>
          </w:p>
        </w:tc>
      </w:tr>
      <w:tr>
        <w:tc>
          <w:tcPr>
            <w:tcW w:type="dxa" w:w="3427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color w:val="000000"/>
                <w:sz w:val="15"/>
                <w:szCs w:val="15"/>
              </w:rPr>
              <w:t xml:space="preserve">Inlet gas temperature</w:t>
            </w:r>
          </w:p>
        </w:tc>
        <w:tc>
          <w:tcPr>
            <w:tcW w:type="dxa" w:w="3830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shd w:fill="F3F4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i/>
                <w:iCs/>
                <w:color w:val="6E6E6E"/>
                <w:sz w:val="15"/>
                <w:szCs w:val="15"/>
              </w:rPr>
              <w:t xml:space="preserve">[To be confirmed by AHLS engineering]</w:t>
            </w:r>
          </w:p>
        </w:tc>
        <w:tc>
          <w:tcPr>
            <w:tcW w:type="dxa" w:w="1210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color w:val="2E2E2E"/>
                <w:sz w:val="15"/>
                <w:szCs w:val="15"/>
              </w:rPr>
              <w:t xml:space="preserve">°C</w:t>
            </w:r>
          </w:p>
        </w:tc>
        <w:tc>
          <w:tcPr>
            <w:tcW w:type="dxa" w:w="1613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b/>
                <w:bCs/>
                <w:color w:val="000000"/>
                <w:sz w:val="13"/>
                <w:szCs w:val="13"/>
              </w:rPr>
              <w:t xml:space="preserve">To confirm</w:t>
            </w:r>
          </w:p>
        </w:tc>
      </w:tr>
      <w:tr>
        <w:tc>
          <w:tcPr>
            <w:tcW w:type="dxa" w:w="3427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color w:val="000000"/>
                <w:sz w:val="15"/>
                <w:szCs w:val="15"/>
              </w:rPr>
              <w:t xml:space="preserve">Inlet particulate loading</w:t>
            </w:r>
          </w:p>
        </w:tc>
        <w:tc>
          <w:tcPr>
            <w:tcW w:type="dxa" w:w="3830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shd w:fill="F3F4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i/>
                <w:iCs/>
                <w:color w:val="6E6E6E"/>
                <w:sz w:val="15"/>
                <w:szCs w:val="15"/>
              </w:rPr>
              <w:t xml:space="preserve">[To be confirmed by AHLS engineering]</w:t>
            </w:r>
          </w:p>
        </w:tc>
        <w:tc>
          <w:tcPr>
            <w:tcW w:type="dxa" w:w="1210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color w:val="2E2E2E"/>
                <w:sz w:val="15"/>
                <w:szCs w:val="15"/>
              </w:rPr>
              <w:t xml:space="preserve">mg/Nm³</w:t>
            </w:r>
          </w:p>
        </w:tc>
        <w:tc>
          <w:tcPr>
            <w:tcW w:type="dxa" w:w="1613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b/>
                <w:bCs/>
                <w:color w:val="000000"/>
                <w:sz w:val="13"/>
                <w:szCs w:val="13"/>
              </w:rPr>
              <w:t xml:space="preserve">To confirm</w:t>
            </w:r>
          </w:p>
        </w:tc>
      </w:tr>
      <w:tr>
        <w:tc>
          <w:tcPr>
            <w:tcW w:type="dxa" w:w="3427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color w:val="000000"/>
                <w:sz w:val="15"/>
                <w:szCs w:val="15"/>
              </w:rPr>
              <w:t xml:space="preserve">Pressure drop</w:t>
            </w:r>
          </w:p>
        </w:tc>
        <w:tc>
          <w:tcPr>
            <w:tcW w:type="dxa" w:w="3830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shd w:fill="F3F4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i/>
                <w:iCs/>
                <w:color w:val="6E6E6E"/>
                <w:sz w:val="15"/>
                <w:szCs w:val="15"/>
              </w:rPr>
              <w:t xml:space="preserve">[To be confirmed by AHLS engineering]</w:t>
            </w:r>
          </w:p>
        </w:tc>
        <w:tc>
          <w:tcPr>
            <w:tcW w:type="dxa" w:w="1210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color w:val="2E2E2E"/>
                <w:sz w:val="15"/>
                <w:szCs w:val="15"/>
              </w:rPr>
              <w:t xml:space="preserve">kPa</w:t>
            </w:r>
          </w:p>
        </w:tc>
        <w:tc>
          <w:tcPr>
            <w:tcW w:type="dxa" w:w="1613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b/>
                <w:bCs/>
                <w:color w:val="000000"/>
                <w:sz w:val="13"/>
                <w:szCs w:val="13"/>
              </w:rPr>
              <w:t xml:space="preserve">To confirm</w:t>
            </w:r>
          </w:p>
        </w:tc>
      </w:tr>
      <w:tr>
        <w:trPr>
          <w:cantSplit/>
        </w:trPr>
        <w:tc>
          <w:tcPr>
            <w:tcW w:type="dxa" w:w="10080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9EFE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keepNext/>
            </w:pPr>
            <w:r>
              <w:rPr>
                <w:rFonts w:ascii="Verdana" w:cs="Verdana" w:eastAsia="Verdana" w:hAnsi="Verdana"/>
                <w:b/>
                <w:bCs/>
                <w:color w:val="235835"/>
                <w:spacing w:val="24"/>
                <w:sz w:val="11"/>
                <w:szCs w:val="11"/>
              </w:rPr>
              <w:t xml:space="preserve">EQUIPMENT</w:t>
            </w:r>
          </w:p>
        </w:tc>
      </w:tr>
      <w:tr>
        <w:tc>
          <w:tcPr>
            <w:tcW w:type="dxa" w:w="3427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color w:val="000000"/>
                <w:sz w:val="15"/>
                <w:szCs w:val="15"/>
              </w:rPr>
              <w:t xml:space="preserve">Number of collecting tubes / fields</w:t>
            </w:r>
          </w:p>
        </w:tc>
        <w:tc>
          <w:tcPr>
            <w:tcW w:type="dxa" w:w="3830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shd w:fill="F3F4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i/>
                <w:iCs/>
                <w:color w:val="6E6E6E"/>
                <w:sz w:val="15"/>
                <w:szCs w:val="15"/>
              </w:rPr>
              <w:t xml:space="preserve">[To be confirmed by AHLS engineering]</w:t>
            </w:r>
          </w:p>
        </w:tc>
        <w:tc>
          <w:tcPr>
            <w:tcW w:type="dxa" w:w="1210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color w:val="2E2E2E"/>
                <w:sz w:val="15"/>
                <w:szCs w:val="15"/>
              </w:rPr>
              <w:t xml:space="preserve">—</w:t>
            </w:r>
          </w:p>
        </w:tc>
        <w:tc>
          <w:tcPr>
            <w:tcW w:type="dxa" w:w="1613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b/>
                <w:bCs/>
                <w:color w:val="000000"/>
                <w:sz w:val="13"/>
                <w:szCs w:val="13"/>
              </w:rPr>
              <w:t xml:space="preserve">To confirm</w:t>
            </w:r>
          </w:p>
        </w:tc>
      </w:tr>
      <w:tr>
        <w:tc>
          <w:tcPr>
            <w:tcW w:type="dxa" w:w="3427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color w:val="000000"/>
                <w:sz w:val="15"/>
                <w:szCs w:val="15"/>
              </w:rPr>
              <w:t xml:space="preserve">Power supply rating</w:t>
            </w:r>
          </w:p>
        </w:tc>
        <w:tc>
          <w:tcPr>
            <w:tcW w:type="dxa" w:w="3830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shd w:fill="F3F4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i/>
                <w:iCs/>
                <w:color w:val="6E6E6E"/>
                <w:sz w:val="15"/>
                <w:szCs w:val="15"/>
              </w:rPr>
              <w:t xml:space="preserve">[To be confirmed by AHLS engineering]</w:t>
            </w:r>
          </w:p>
        </w:tc>
        <w:tc>
          <w:tcPr>
            <w:tcW w:type="dxa" w:w="1210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color w:val="2E2E2E"/>
                <w:sz w:val="15"/>
                <w:szCs w:val="15"/>
              </w:rPr>
              <w:t xml:space="preserve">kV / mA</w:t>
            </w:r>
          </w:p>
        </w:tc>
        <w:tc>
          <w:tcPr>
            <w:tcW w:type="dxa" w:w="1613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b/>
                <w:bCs/>
                <w:color w:val="000000"/>
                <w:sz w:val="13"/>
                <w:szCs w:val="13"/>
              </w:rPr>
              <w:t xml:space="preserve">To confirm</w:t>
            </w:r>
          </w:p>
        </w:tc>
      </w:tr>
      <w:tr>
        <w:tc>
          <w:tcPr>
            <w:tcW w:type="dxa" w:w="3427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color w:val="000000"/>
                <w:sz w:val="15"/>
                <w:szCs w:val="15"/>
              </w:rPr>
              <w:t xml:space="preserve">Wash water requirement</w:t>
            </w:r>
          </w:p>
        </w:tc>
        <w:tc>
          <w:tcPr>
            <w:tcW w:type="dxa" w:w="3830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shd w:fill="F3F4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i/>
                <w:iCs/>
                <w:color w:val="6E6E6E"/>
                <w:sz w:val="15"/>
                <w:szCs w:val="15"/>
              </w:rPr>
              <w:t xml:space="preserve">[To be confirmed by AHLS engineering]</w:t>
            </w:r>
          </w:p>
        </w:tc>
        <w:tc>
          <w:tcPr>
            <w:tcW w:type="dxa" w:w="1210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color w:val="2E2E2E"/>
                <w:sz w:val="15"/>
                <w:szCs w:val="15"/>
              </w:rPr>
              <w:t xml:space="preserve">m³/h</w:t>
            </w:r>
          </w:p>
        </w:tc>
        <w:tc>
          <w:tcPr>
            <w:tcW w:type="dxa" w:w="1613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b/>
                <w:bCs/>
                <w:color w:val="000000"/>
                <w:sz w:val="13"/>
                <w:szCs w:val="13"/>
              </w:rPr>
              <w:t xml:space="preserve">To confirm</w:t>
            </w:r>
          </w:p>
        </w:tc>
      </w:tr>
      <w:tr>
        <w:tc>
          <w:tcPr>
            <w:tcW w:type="dxa" w:w="3427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color w:val="000000"/>
                <w:sz w:val="15"/>
                <w:szCs w:val="15"/>
              </w:rPr>
              <w:t xml:space="preserve">Overall dimensions (L × W × H)</w:t>
            </w:r>
          </w:p>
        </w:tc>
        <w:tc>
          <w:tcPr>
            <w:tcW w:type="dxa" w:w="3830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shd w:fill="F3F4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i/>
                <w:iCs/>
                <w:color w:val="6E6E6E"/>
                <w:sz w:val="15"/>
                <w:szCs w:val="15"/>
              </w:rPr>
              <w:t xml:space="preserve">[To be confirmed by AHLS engineering]</w:t>
            </w:r>
          </w:p>
        </w:tc>
        <w:tc>
          <w:tcPr>
            <w:tcW w:type="dxa" w:w="1210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color w:val="2E2E2E"/>
                <w:sz w:val="15"/>
                <w:szCs w:val="15"/>
              </w:rPr>
              <w:t xml:space="preserve">m</w:t>
            </w:r>
          </w:p>
        </w:tc>
        <w:tc>
          <w:tcPr>
            <w:tcW w:type="dxa" w:w="1613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b/>
                <w:bCs/>
                <w:color w:val="000000"/>
                <w:sz w:val="13"/>
                <w:szCs w:val="13"/>
              </w:rPr>
              <w:t xml:space="preserve">To confirm</w:t>
            </w:r>
          </w:p>
        </w:tc>
      </w:tr>
      <w:tr>
        <w:tc>
          <w:tcPr>
            <w:tcW w:type="dxa" w:w="3427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color w:val="000000"/>
                <w:sz w:val="15"/>
                <w:szCs w:val="15"/>
              </w:rPr>
              <w:t xml:space="preserve">Design codes &amp; standards</w:t>
            </w:r>
          </w:p>
        </w:tc>
        <w:tc>
          <w:tcPr>
            <w:tcW w:type="dxa" w:w="3830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shd w:fill="F3F4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i/>
                <w:iCs/>
                <w:color w:val="6E6E6E"/>
                <w:sz w:val="15"/>
                <w:szCs w:val="15"/>
              </w:rPr>
              <w:t xml:space="preserve">[To be confirmed by AHLS engineering]</w:t>
            </w:r>
          </w:p>
        </w:tc>
        <w:tc>
          <w:tcPr>
            <w:tcW w:type="dxa" w:w="1210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color w:val="2E2E2E"/>
                <w:sz w:val="15"/>
                <w:szCs w:val="15"/>
              </w:rPr>
              <w:t xml:space="preserve">—</w:t>
            </w:r>
          </w:p>
        </w:tc>
        <w:tc>
          <w:tcPr>
            <w:tcW w:type="dxa" w:w="1613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b/>
                <w:bCs/>
                <w:color w:val="000000"/>
                <w:sz w:val="13"/>
                <w:szCs w:val="13"/>
              </w:rPr>
              <w:t xml:space="preserve">To confirm</w:t>
            </w:r>
          </w:p>
        </w:tc>
      </w:tr>
    </w:tbl>
    <w:p>
      <w:pPr>
        <w:pStyle w:val="Caption"/>
      </w:pPr>
      <w:r>
        <w:rPr>
          <w:rFonts w:ascii="Verdana" w:cs="Verdana" w:eastAsia="Verdana" w:hAnsi="Verdana"/>
        </w:rPr>
        <w:t xml:space="preserve">Grey fields are placeholders. Values must be supplied and verified by AHLS engineering for each project — none are estimated here.</w:t>
      </w:r>
    </w:p>
    <w:p>
      <w:pPr>
        <w:pStyle w:val="Heading1"/>
        <w:tabs>
          <w:tab w:val="left" w:pos="620"/>
        </w:tabs>
      </w:pPr>
      <w:r>
        <w:rPr>
          <w:rFonts w:ascii="Verdana" w:cs="Verdana" w:eastAsia="Verdana" w:hAnsi="Verdana"/>
          <w:color w:val="6E6E6E"/>
        </w:rPr>
        <w:t xml:space="preserve">05</w:t>
      </w:r>
      <w:r>
        <w:rPr>
          <w:rFonts w:ascii="Verdana" w:cs="Verdana" w:eastAsia="Verdana" w:hAnsi="Verdana"/>
        </w:rPr>
        <w:tab/>
      </w:r>
      <w:r>
        <w:rPr>
          <w:rFonts w:ascii="Verdana" w:cs="Verdana" w:eastAsia="Verdana" w:hAnsi="Verdana"/>
        </w:rPr>
        <w:t xml:space="preserve">APPLICATIONS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830"/>
        <w:gridCol w:w="6250"/>
      </w:tblGrid>
      <w:tr>
        <w:trPr>
          <w:tblHeader/>
        </w:trPr>
        <w:tc>
          <w:tcPr>
            <w:tcW w:type="dxa" w:w="3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00000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b/>
                <w:bCs/>
                <w:color w:val="FFFFFF"/>
                <w:spacing w:val="20"/>
                <w:sz w:val="11"/>
                <w:szCs w:val="11"/>
              </w:rPr>
              <w:t xml:space="preserve">INDUSTRY</w:t>
            </w:r>
          </w:p>
        </w:tc>
        <w:tc>
          <w:tcPr>
            <w:tcW w:type="dxa" w:w="6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00000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b/>
                <w:bCs/>
                <w:color w:val="FFFFFF"/>
                <w:spacing w:val="20"/>
                <w:sz w:val="11"/>
                <w:szCs w:val="11"/>
              </w:rPr>
              <w:t xml:space="preserve">PUBLISHED APPLICATION</w:t>
            </w:r>
          </w:p>
        </w:tc>
      </w:tr>
      <w:tr>
        <w:tc>
          <w:tcPr>
            <w:tcW w:type="dxa" w:w="3830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b/>
                <w:bCs/>
                <w:color w:val="000000"/>
                <w:sz w:val="15"/>
                <w:szCs w:val="15"/>
              </w:rPr>
              <w:t xml:space="preserve">Wood panel board &amp; wood pellets</w:t>
            </w:r>
          </w:p>
        </w:tc>
        <w:tc>
          <w:tcPr>
            <w:tcW w:type="dxa" w:w="6250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sz w:val="15"/>
                <w:szCs w:val="15"/>
              </w:rPr>
              <w:t xml:space="preserve">Air emission remediation</w:t>
            </w:r>
          </w:p>
        </w:tc>
      </w:tr>
      <w:tr>
        <w:tc>
          <w:tcPr>
            <w:tcW w:type="dxa" w:w="3830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b/>
                <w:bCs/>
                <w:color w:val="000000"/>
                <w:sz w:val="15"/>
                <w:szCs w:val="15"/>
              </w:rPr>
              <w:t xml:space="preserve">Insulation manufacturing</w:t>
            </w:r>
          </w:p>
        </w:tc>
        <w:tc>
          <w:tcPr>
            <w:tcW w:type="dxa" w:w="6250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sz w:val="15"/>
                <w:szCs w:val="15"/>
              </w:rPr>
              <w:t xml:space="preserve">Mineral wool, glass wool, gypsum</w:t>
            </w:r>
          </w:p>
        </w:tc>
      </w:tr>
      <w:tr>
        <w:tc>
          <w:tcPr>
            <w:tcW w:type="dxa" w:w="3830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b/>
                <w:bCs/>
                <w:color w:val="000000"/>
                <w:sz w:val="15"/>
                <w:szCs w:val="15"/>
              </w:rPr>
              <w:t xml:space="preserve">Mining &amp; mineral processing</w:t>
            </w:r>
          </w:p>
        </w:tc>
        <w:tc>
          <w:tcPr>
            <w:tcW w:type="dxa" w:w="6250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sz w:val="15"/>
                <w:szCs w:val="15"/>
              </w:rPr>
              <w:t xml:space="preserve">Ore dryers — acid mist elimination</w:t>
            </w:r>
          </w:p>
        </w:tc>
      </w:tr>
      <w:tr>
        <w:tc>
          <w:tcPr>
            <w:tcW w:type="dxa" w:w="3830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b/>
                <w:bCs/>
                <w:color w:val="000000"/>
                <w:sz w:val="15"/>
                <w:szCs w:val="15"/>
              </w:rPr>
              <w:t xml:space="preserve">Oil &amp; gas</w:t>
            </w:r>
          </w:p>
        </w:tc>
        <w:tc>
          <w:tcPr>
            <w:tcW w:type="dxa" w:w="6250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sz w:val="15"/>
                <w:szCs w:val="15"/>
              </w:rPr>
              <w:t xml:space="preserve">Particulate and acid mist removal</w:t>
            </w:r>
          </w:p>
        </w:tc>
      </w:tr>
      <w:tr>
        <w:tc>
          <w:tcPr>
            <w:tcW w:type="dxa" w:w="3830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b/>
                <w:bCs/>
                <w:color w:val="000000"/>
                <w:sz w:val="15"/>
                <w:szCs w:val="15"/>
              </w:rPr>
              <w:t xml:space="preserve">Power generation</w:t>
            </w:r>
          </w:p>
        </w:tc>
        <w:tc>
          <w:tcPr>
            <w:tcW w:type="dxa" w:w="6250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sz w:val="15"/>
                <w:szCs w:val="15"/>
              </w:rPr>
              <w:t xml:space="preserve">Particulate and acid mist removal</w:t>
            </w:r>
          </w:p>
        </w:tc>
      </w:tr>
      <w:tr>
        <w:tc>
          <w:tcPr>
            <w:tcW w:type="dxa" w:w="3830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b/>
                <w:bCs/>
                <w:color w:val="000000"/>
                <w:sz w:val="15"/>
                <w:szCs w:val="15"/>
              </w:rPr>
              <w:t xml:space="preserve">Chemical &amp; process</w:t>
            </w:r>
          </w:p>
        </w:tc>
        <w:tc>
          <w:tcPr>
            <w:tcW w:type="dxa" w:w="6250"/>
            <w:tcBorders>
              <w:top w:val="none" w:color="FFFFFF" w:sz="0"/>
              <w:left w:val="none" w:color="FFFFFF" w:sz="0"/>
              <w:bottom w:val="single" w:color="D4D4D4" w:sz="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r>
              <w:rPr>
                <w:rFonts w:ascii="Verdana" w:cs="Verdana" w:eastAsia="Verdana" w:hAnsi="Verdana"/>
                <w:sz w:val="15"/>
                <w:szCs w:val="15"/>
              </w:rPr>
              <w:t xml:space="preserve">Meat smoking, potato frying, detergent plants</w:t>
            </w:r>
          </w:p>
        </w:tc>
      </w:tr>
    </w:tbl>
    <w:p>
      <w:pPr>
        <w:pStyle w:val="Caption"/>
      </w:pPr>
      <w:r>
        <w:rPr>
          <w:rFonts w:ascii="Verdana" w:cs="Verdana" w:eastAsia="Verdana" w:hAnsi="Verdana"/>
        </w:rPr>
        <w:t xml:space="preserve">As listed on the AHLS industry pages for wood panel board, insulation, mining, oil &amp; gas, power and chemical &amp; process.</w:t>
      </w:r>
    </w:p>
    <w:p>
      <w:pPr>
        <w:pStyle w:val="Heading1"/>
        <w:tabs>
          <w:tab w:val="left" w:pos="620"/>
        </w:tabs>
      </w:pPr>
      <w:r>
        <w:rPr>
          <w:rFonts w:ascii="Verdana" w:cs="Verdana" w:eastAsia="Verdana" w:hAnsi="Verdana"/>
          <w:color w:val="6E6E6E"/>
        </w:rPr>
        <w:t xml:space="preserve">06</w:t>
      </w:r>
      <w:r>
        <w:rPr>
          <w:rFonts w:ascii="Verdana" w:cs="Verdana" w:eastAsia="Verdana" w:hAnsi="Verdana"/>
        </w:rPr>
        <w:tab/>
      </w:r>
      <w:r>
        <w:rPr>
          <w:rFonts w:ascii="Verdana" w:cs="Verdana" w:eastAsia="Verdana" w:hAnsi="Verdana"/>
        </w:rPr>
        <w:t xml:space="preserve">NOTES AND SOURCES</w:t>
      </w:r>
    </w:p>
    <w:p>
      <w:pPr>
        <w:pStyle w:val="Note"/>
      </w:pPr>
      <w:r>
        <w:rPr>
          <w:rFonts w:ascii="Verdana" w:cs="Verdana" w:eastAsia="Verdana" w:hAnsi="Verdana"/>
        </w:rPr>
        <w:t xml:space="preserve">This sheet is a preliminary layout prepared as an initiative design concept (AHLS — Preliminary Visual System Concept). It has not been reviewed or approved by A.H. Lundberg Systems Limited.</w:t>
      </w:r>
    </w:p>
    <w:p>
      <w:pPr>
        <w:pStyle w:val="Note"/>
      </w:pPr>
      <w:r>
        <w:rPr>
          <w:rFonts w:ascii="Verdana" w:cs="Verdana" w:eastAsia="Verdana" w:hAnsi="Verdana"/>
        </w:rPr>
        <w:t xml:space="preserve">Source: https://www.ahlundberg.com/products/air-pollution-control/wet-electrostatic-precipitator-wesp/ (accessed 2026-10-02). Applications: industry pages on www.ahlundberg.com.</w:t>
      </w:r>
    </w:p>
    <w:sectPr>
      <w:headerReference w:type="default" r:id="rId6"/>
      <w:footerReference w:type="default" r:id="rId7"/>
      <w:pgSz w:w="12240" w:h="15840" w:orient="portrait"/>
      <w:pgMar w:top="1500" w:right="1080" w:bottom="1300" w:left="1080" w:header="56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0000" w:sz="4"/>
      </w:pBdr>
      <w:spacing w:after="60" w:before="0"/>
    </w:pPr>
    <w:r>
      <w:rPr>
        <w:rFonts w:ascii="Verdana" w:cs="Verdana" w:eastAsia="Verdana" w:hAnsi="Verdana"/>
      </w:rPr>
      <w:t xml:space="preserve"/>
    </w:r>
  </w:p>
  <w:p>
    <w:pPr>
      <w:tabs>
        <w:tab w:val="right" w:pos="10080"/>
      </w:tabs>
    </w:pPr>
    <w:r>
      <w:rPr>
        <w:rFonts w:ascii="Verdana" w:cs="Verdana" w:eastAsia="Verdana" w:hAnsi="Verdana"/>
        <w:color w:val="6E6E6E"/>
        <w:sz w:val="13"/>
        <w:szCs w:val="13"/>
      </w:rPr>
      <w:t xml:space="preserve">A.H. Lundberg Systems Limited · Vancouver, BC · ahlundberg.com</w:t>
    </w:r>
    <w:r>
      <w:rPr>
        <w:rFonts w:ascii="Verdana" w:cs="Verdana" w:eastAsia="Verdana" w:hAnsi="Verdana"/>
        <w:sz w:val="13"/>
        <w:szCs w:val="13"/>
      </w:rPr>
      <w:tab/>
    </w:r>
    <w:r>
      <w:rPr>
        <w:rFonts w:ascii="Verdana" w:cs="Verdana" w:eastAsia="Verdana" w:hAnsi="Verdana"/>
        <w:color w:val="6E6E6E"/>
        <w:sz w:val="13"/>
        <w:szCs w:val="13"/>
      </w:rPr>
      <w:t xml:space="preserve">AHLS-TDS-WESP · Rev. P1 · 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  <w:p>
    <w:pPr>
      <w:spacing w:before="40"/>
    </w:pPr>
    <w:r>
      <w:rPr>
        <w:rFonts w:ascii="Verdana" w:cs="Verdana" w:eastAsia="Verdana" w:hAnsi="Verdana"/>
        <w:b/>
        <w:bCs/>
        <w:color w:val="235835"/>
        <w:spacing w:val="20"/>
        <w:sz w:val="12"/>
        <w:szCs w:val="12"/>
      </w:rPr>
      <w:t xml:space="preserve">PRELIMINARY VISUAL SYSTEM CONCEPT — NOT REVIEWED OR APPROVED BY AHLS — NOT FOR ISSUE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08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040"/>
      <w:gridCol w:w="5040"/>
    </w:tblGrid>
    <w:tr>
      <w:tc>
        <w:tcPr>
          <w:tcW w:type="dxa" w:w="504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120"/>
            <w:right w:type="dxa" w:w="0"/>
          </w:tcMar>
          <w:vAlign w:val="bottom"/>
        </w:tcPr>
        <w:p>
          <w:r>
            <w:drawing>
              <wp:inline distT="0" distB="0" distL="0" distR="0">
                <wp:extent cx="2247900" cy="285750"/>
                <wp:effectExtent t="0" r="0" b="0" l="0"/>
                <wp:docPr id="1" name="AHLS logo" descr="A.H. Lundberg Systems Limited logo" title="AHLS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4790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04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120"/>
            <w:right w:type="dxa" w:w="0"/>
          </w:tcMar>
          <w:vAlign w:val="bottom"/>
        </w:tcPr>
        <w:p>
          <w:pPr>
            <w:jc w:val="right"/>
          </w:pPr>
          <w:r>
            <w:rPr>
              <w:rFonts w:ascii="Verdana" w:cs="Verdana" w:eastAsia="Verdana" w:hAnsi="Verdana"/>
              <w:b/>
              <w:bCs/>
              <w:color w:val="000000"/>
              <w:spacing w:val="30"/>
              <w:sz w:val="14"/>
              <w:szCs w:val="14"/>
            </w:rPr>
            <w:t xml:space="preserve">TECHNICAL DATA SHEET</w:t>
          </w:r>
        </w:p>
        <w:p>
          <w:pPr>
            <w:jc w:val="right"/>
          </w:pPr>
          <w:r>
            <w:rPr>
              <w:rFonts w:ascii="Verdana" w:cs="Verdana" w:eastAsia="Verdana" w:hAnsi="Verdana"/>
              <w:color w:val="6E6E6E"/>
              <w:sz w:val="14"/>
              <w:szCs w:val="14"/>
            </w:rPr>
            <w:t xml:space="preserve">Wet ESP Systems · AHLS-TDS-WESP · Rev. P1</w:t>
          </w:r>
        </w:p>
      </w:tc>
    </w:tr>
  </w:tbl>
  <w:p>
    <w:pPr>
      <w:pBdr>
        <w:bottom w:val="single" w:color="000000" w:sz="8"/>
      </w:pBdr>
      <w:spacing w:after="0"/>
    </w:pPr>
    <w:r>
      <w:rPr>
        <w:rFonts w:ascii="Verdana" w:cs="Verdana" w:eastAsia="Verdana" w:hAnsi="Verdana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▪"/>
      <w:lvlJc w:val="left"/>
      <w:pPr>
        <w:ind w:left="300" w:hanging="220"/>
      </w:pPr>
      <w:rPr>
        <w:rFonts w:ascii="Verdana" w:cs="Verdana" w:eastAsia="Verdana" w:hAnsi="Verdana"/>
        <w:color w:val="00965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color w:val="2E2E2E"/>
        <w:sz w:val="17"/>
        <w:szCs w:val="17"/>
      </w:rPr>
    </w:rPrDefault>
    <w:pPrDefault>
      <w:pPr>
        <w:spacing w:after="100" w:line="30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60" w:before="0" w:line="240"/>
    </w:pPr>
    <w:rPr>
      <w:rFonts w:ascii="Verdana" w:cs="Verdana" w:eastAsia="Verdana" w:hAnsi="Verdana"/>
      <w:color w:val="000000"/>
      <w:spacing w:val="-20"/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000000" w:sz="8"/>
      </w:pBdr>
      <w:spacing w:after="160" w:before="320"/>
    </w:pPr>
    <w:rPr>
      <w:rFonts w:ascii="Verdana" w:cs="Verdana" w:eastAsia="Verdana" w:hAnsi="Verdana"/>
      <w:b/>
      <w:bCs/>
      <w:color w:val="000000"/>
      <w:spacing w:val="30"/>
      <w:sz w:val="15"/>
      <w:szCs w:val="15"/>
    </w:rPr>
  </w:style>
  <w:style w:type="paragraph" w:styleId="Heading2">
    <w:name w:val="Heading 2"/>
    <w:basedOn w:val="Normal"/>
    <w:next w:val="Normal"/>
    <w:qFormat/>
    <w:pPr>
      <w:keepNext/>
      <w:spacing w:after="80" w:before="200"/>
    </w:pPr>
    <w:rPr>
      <w:rFonts w:ascii="Verdana" w:cs="Verdana" w:eastAsia="Verdana" w:hAnsi="Verdana"/>
      <w:b/>
      <w:bCs/>
      <w:color w:val="235835"/>
      <w:sz w:val="20"/>
      <w:szCs w:val="20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Kicker">
    <w:name w:val="AHLS Kicker"/>
    <w:basedOn w:val="Normal"/>
    <w:next w:val="Normal"/>
    <w:pPr>
      <w:spacing w:after="120" w:before="360"/>
    </w:pPr>
    <w:rPr>
      <w:b/>
      <w:bCs/>
      <w:color w:val="235835"/>
      <w:spacing w:val="30"/>
      <w:sz w:val="14"/>
      <w:szCs w:val="14"/>
    </w:rPr>
  </w:style>
  <w:style w:type="paragraph" w:styleId="Subtitle">
    <w:name w:val="Subtitle"/>
    <w:basedOn w:val="Normal"/>
    <w:next w:val="Normal"/>
    <w:pPr>
      <w:spacing w:after="200"/>
    </w:pPr>
    <w:rPr>
      <w:color w:val="6E6E6E"/>
      <w:sz w:val="22"/>
      <w:szCs w:val="22"/>
    </w:rPr>
  </w:style>
  <w:style w:type="paragraph" w:styleId="Lead">
    <w:name w:val="AHLS Lead"/>
    <w:basedOn w:val="Normal"/>
    <w:next w:val="Normal"/>
    <w:pPr>
      <w:spacing w:after="280" w:line="320"/>
    </w:pPr>
    <w:rPr>
      <w:color w:val="000000"/>
      <w:sz w:val="20"/>
      <w:szCs w:val="20"/>
    </w:rPr>
  </w:style>
  <w:style w:type="paragraph" w:styleId="Caption">
    <w:name w:val="caption"/>
    <w:basedOn w:val="Normal"/>
    <w:next w:val="Normal"/>
    <w:pPr>
      <w:spacing w:after="120" w:before="100"/>
    </w:pPr>
    <w:rPr>
      <w:color w:val="6E6E6E"/>
      <w:sz w:val="13"/>
      <w:szCs w:val="13"/>
    </w:rPr>
  </w:style>
  <w:style w:type="paragraph" w:styleId="Warning">
    <w:name w:val="AHLS Concept Warning"/>
    <w:basedOn w:val="Normal"/>
    <w:next w:val="Normal"/>
    <w:pPr>
      <w:spacing w:after="60" w:before="60"/>
    </w:pPr>
    <w:rPr>
      <w:b/>
      <w:bCs/>
      <w:color w:val="235835"/>
      <w:spacing w:val="16"/>
      <w:sz w:val="13"/>
      <w:szCs w:val="13"/>
    </w:rPr>
  </w:style>
  <w:style w:type="paragraph" w:styleId="Note">
    <w:name w:val="AHLS Note"/>
    <w:basedOn w:val="Normal"/>
    <w:next w:val="Normal"/>
    <w:pPr>
      <w:spacing w:after="80"/>
    </w:pPr>
    <w:rPr>
      <w:color w:val="6E6E6E"/>
      <w:sz w:val="14"/>
      <w:szCs w:val="1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2b3634e098d1a49ca0a215961917e3a75be9b809.svg"/><Relationship Id="rId10" Type="http://schemas.openxmlformats.org/officeDocument/2006/relationships/image" Target="media/225f48ca3a434ba673c9b9e5106822d9910e2f5c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2a2958d4854c9c7e9a7d34c97657d0a3831e026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Wet ESP Systems — Technical Data Sheet (concept)</dc:title>
  <dc:subject>AHLS — Preliminary Visual System Concept</dc:subject>
  <dc:creator>Kikkey — AHLS Preliminary Visual System Concept</dc:creator>
  <cp:keywords>AHLS, Wet ESP, data sheet, concept</cp:keywords>
  <dc:description>Initiative design concept. Not reviewed or approved by A.H. Lundberg Systems Limited. Published facts only; placeholders mark data AHLS must confirm.</dc:description>
  <cp:lastModifiedBy>Un-named</cp:lastModifiedBy>
  <cp:revision>1</cp:revision>
  <dcterms:created xsi:type="dcterms:W3CDTF">2026-10-02T18:01:24.185Z</dcterms:created>
  <dcterms:modified xsi:type="dcterms:W3CDTF">2026-10-02T18:01:24.186Z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